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【2020 年 テニスⅡ 授業計画（前期；</w:t>
      </w:r>
      <w:r>
        <w:rPr>
          <w:rFonts w:ascii="游ゴシック" w:eastAsia="游ゴシック" w:hAnsi="游ゴシック" w:cs="游ゴシック" w:hint="eastAsia"/>
          <w:kern w:val="0"/>
          <w:sz w:val="24"/>
        </w:rPr>
        <w:t>金曜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限）】（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宮地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）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01. (4/2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4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) オリエンテーション（授業の進め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⽅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、評価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⽅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法など）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02. (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5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1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テニスの特性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03. (5/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8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テニスの歴史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04. (5/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15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テニスの技術特性（フットワーク、ラケットワーク）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05. (5/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22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ストロークの技術特性１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06. (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5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29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ストロークの技術特性２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07. (6/0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5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ネットプレーの技術特性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08. (6/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12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サーブの技術特性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09. (6/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19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) テニスの初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⼼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者指導法１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10. (6/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26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) テニスの初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⼼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者指導法２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11. (7/0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3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テニスのルールとマナー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12. (7/1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0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ダブルスの戦術１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13. (7/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17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ダブルスの戦術２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14. (7/</w:t>
      </w:r>
      <w:r w:rsidR="00AD0D04">
        <w:rPr>
          <w:rFonts w:ascii="ＭＳ Ｐゴシック" w:eastAsia="ＭＳ Ｐゴシック" w:hAnsi="ＭＳ Ｐゴシック" w:cs="ＭＳ Ｐゴシック"/>
          <w:kern w:val="0"/>
          <w:sz w:val="24"/>
        </w:rPr>
        <w:t>24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) シングルスの戦術 前期の授業は、5 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⽉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26 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⽇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までは、遠隔授業となります。6 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⽉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2 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⽇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より対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⾯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授業の予定ですが、状況に よっては、遠隔授業が継続することも予想されます。この場合は、講義中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⼼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（課題、動画配信など） の授業展開となります。対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⾯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授業になれば、テニスコートで、実技を中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⼼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に展開していく予定です。 【指定教科書】 教科書：「教師をめざす学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⽣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のためのテニスの初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⼼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者指導」（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⼤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修館書店） ２年次において、購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⼊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済みです。（購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⼊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希望の学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⽣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は、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>kmiyachi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@ouhs.ac.jp まで。） 遠隔授業についても、この教科書を利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⽤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していきます。 また、資格取得希望の学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⽣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（コーチ１、２）は、テニス指導教本（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⼤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>修館書店）、JTA ルールブック などの教材等も必要となってきます。詳しくは、後</w:t>
      </w:r>
      <w:r w:rsidRPr="00F85D2A">
        <w:rPr>
          <w:rFonts w:ascii="游ゴシック" w:eastAsia="游ゴシック" w:hAnsi="游ゴシック" w:cs="游ゴシック" w:hint="eastAsia"/>
          <w:kern w:val="0"/>
          <w:sz w:val="24"/>
        </w:rPr>
        <w:t>⽇</w:t>
      </w: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連絡します。 </w:t>
      </w:r>
    </w:p>
    <w:p w:rsid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F85D2A" w:rsidRPr="00F85D2A" w:rsidRDefault="00F85D2A" w:rsidP="00F85D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85D2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【成績の評価基準】 </w:t>
      </w:r>
    </w:p>
    <w:p w:rsidR="00B94766" w:rsidRDefault="00AD0D04">
      <w:r>
        <w:rPr>
          <w:rFonts w:hint="eastAsia"/>
        </w:rPr>
        <w:t>ルーブリックを基に評価します。</w:t>
      </w:r>
      <w:r w:rsidR="00B94766">
        <w:rPr>
          <w:rFonts w:hint="eastAsia"/>
        </w:rPr>
        <w:t>後ほどアナウンスします。</w:t>
      </w:r>
      <w:bookmarkStart w:id="0" w:name="_GoBack"/>
      <w:bookmarkEnd w:id="0"/>
    </w:p>
    <w:p w:rsidR="00F85D2A" w:rsidRDefault="00AD0D04">
      <w:pPr>
        <w:rPr>
          <w:rFonts w:hint="eastAsia"/>
        </w:rPr>
      </w:pPr>
      <w:r>
        <w:rPr>
          <w:rFonts w:hint="eastAsia"/>
        </w:rPr>
        <w:t>この状況ですので、対応は随時行います。</w:t>
      </w:r>
    </w:p>
    <w:sectPr w:rsidR="00F85D2A" w:rsidSect="0001432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A"/>
    <w:rsid w:val="00014323"/>
    <w:rsid w:val="00AD0D04"/>
    <w:rsid w:val="00B94766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2A916"/>
  <w15:chartTrackingRefBased/>
  <w15:docId w15:val="{4EDCA5A5-C3C3-024B-9A88-283BDDD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2020-04-19T09:59:00Z</dcterms:created>
  <dcterms:modified xsi:type="dcterms:W3CDTF">2020-04-19T13:02:00Z</dcterms:modified>
</cp:coreProperties>
</file>